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F6" w:rsidRPr="00C211BC" w:rsidRDefault="008B6BF6" w:rsidP="00AB583C">
      <w:pPr>
        <w:spacing w:after="0" w:line="240" w:lineRule="auto"/>
        <w:jc w:val="both"/>
        <w:rPr>
          <w:b/>
          <w:sz w:val="20"/>
          <w:szCs w:val="20"/>
          <w:lang w:val="en-GB"/>
        </w:rPr>
      </w:pPr>
      <w:r w:rsidRPr="00C211BC">
        <w:rPr>
          <w:b/>
          <w:sz w:val="20"/>
          <w:szCs w:val="20"/>
          <w:lang w:val="en-GB"/>
        </w:rPr>
        <w:t>CRO 015 From preschool to full integration September 2011 – June 2012</w:t>
      </w:r>
    </w:p>
    <w:p w:rsidR="00DE4D9D" w:rsidRPr="00C211BC" w:rsidRDefault="00DE4D9D" w:rsidP="00AB583C">
      <w:pPr>
        <w:spacing w:after="0" w:line="240" w:lineRule="auto"/>
        <w:jc w:val="both"/>
        <w:rPr>
          <w:b/>
          <w:sz w:val="20"/>
          <w:szCs w:val="20"/>
          <w:lang w:val="en-GB"/>
        </w:rPr>
      </w:pPr>
      <w:r w:rsidRPr="00C211BC">
        <w:rPr>
          <w:b/>
          <w:sz w:val="20"/>
          <w:szCs w:val="20"/>
          <w:lang w:val="en-GB"/>
        </w:rPr>
        <w:t>With preschool education to complete integration</w:t>
      </w:r>
    </w:p>
    <w:p w:rsidR="00AB4A9E" w:rsidRPr="00C211BC" w:rsidRDefault="00AB4A9E" w:rsidP="00AB583C">
      <w:pPr>
        <w:spacing w:after="0" w:line="240" w:lineRule="auto"/>
        <w:jc w:val="both"/>
        <w:rPr>
          <w:b/>
          <w:sz w:val="20"/>
          <w:szCs w:val="20"/>
          <w:lang w:val="en-GB"/>
        </w:rPr>
      </w:pPr>
    </w:p>
    <w:p w:rsidR="00AB4A9E" w:rsidRPr="00C211BC" w:rsidRDefault="00AB4A9E" w:rsidP="00AB583C">
      <w:pPr>
        <w:spacing w:after="0" w:line="240" w:lineRule="auto"/>
        <w:jc w:val="both"/>
        <w:rPr>
          <w:b/>
          <w:sz w:val="20"/>
          <w:szCs w:val="20"/>
          <w:lang w:val="en-GB"/>
        </w:rPr>
      </w:pPr>
      <w:r w:rsidRPr="00C211BC">
        <w:rPr>
          <w:b/>
          <w:sz w:val="20"/>
          <w:szCs w:val="20"/>
          <w:lang w:val="en-GB"/>
        </w:rPr>
        <w:t xml:space="preserve">Initial </w:t>
      </w:r>
      <w:r w:rsidR="00E22C0E" w:rsidRPr="00C211BC">
        <w:rPr>
          <w:b/>
          <w:sz w:val="20"/>
          <w:szCs w:val="20"/>
          <w:lang w:val="en-GB"/>
        </w:rPr>
        <w:t>Assessment performed by</w:t>
      </w:r>
      <w:r w:rsidRPr="00C211BC">
        <w:rPr>
          <w:b/>
          <w:sz w:val="20"/>
          <w:szCs w:val="20"/>
          <w:lang w:val="en-GB"/>
        </w:rPr>
        <w:t xml:space="preserve">: </w:t>
      </w:r>
    </w:p>
    <w:p w:rsidR="00E22C0E" w:rsidRPr="00C211BC" w:rsidRDefault="00AB4A9E" w:rsidP="00AB583C">
      <w:pPr>
        <w:spacing w:after="0" w:line="240" w:lineRule="auto"/>
        <w:jc w:val="both"/>
        <w:rPr>
          <w:b/>
          <w:sz w:val="20"/>
          <w:szCs w:val="20"/>
          <w:lang w:val="en-GB"/>
        </w:rPr>
      </w:pPr>
      <w:r w:rsidRPr="00C211BC">
        <w:rPr>
          <w:b/>
          <w:sz w:val="20"/>
          <w:szCs w:val="20"/>
          <w:lang w:val="en-GB"/>
        </w:rPr>
        <w:t>The</w:t>
      </w:r>
      <w:r w:rsidR="00E22C0E" w:rsidRPr="00C211BC">
        <w:rPr>
          <w:b/>
          <w:sz w:val="20"/>
          <w:szCs w:val="20"/>
          <w:lang w:val="en-GB"/>
        </w:rPr>
        <w:t xml:space="preserve"> National Centre for External Evaluation, Department for promotion of quality of education</w:t>
      </w:r>
    </w:p>
    <w:p w:rsidR="00AB4A9E" w:rsidRPr="00C211BC" w:rsidRDefault="00E22C0E" w:rsidP="00AB583C">
      <w:pPr>
        <w:spacing w:after="0" w:line="240" w:lineRule="auto"/>
        <w:jc w:val="both"/>
        <w:rPr>
          <w:b/>
          <w:sz w:val="20"/>
          <w:szCs w:val="20"/>
          <w:lang w:val="en-GB"/>
        </w:rPr>
      </w:pPr>
      <w:r w:rsidRPr="00C211BC">
        <w:rPr>
          <w:b/>
          <w:sz w:val="20"/>
          <w:szCs w:val="20"/>
          <w:lang w:val="en-GB"/>
        </w:rPr>
        <w:t xml:space="preserve">Summary of initial assessment report prepared by: </w:t>
      </w:r>
    </w:p>
    <w:p w:rsidR="00E22C0E" w:rsidRPr="00C211BC" w:rsidRDefault="00E22C0E" w:rsidP="00AB583C">
      <w:pPr>
        <w:spacing w:after="0" w:line="240" w:lineRule="auto"/>
        <w:jc w:val="both"/>
        <w:rPr>
          <w:b/>
          <w:sz w:val="20"/>
          <w:szCs w:val="20"/>
          <w:lang w:val="en-GB"/>
        </w:rPr>
      </w:pPr>
      <w:r w:rsidRPr="00C211BC">
        <w:rPr>
          <w:b/>
          <w:sz w:val="20"/>
          <w:szCs w:val="20"/>
          <w:lang w:val="en-GB"/>
        </w:rPr>
        <w:t>Biserka Tomljenović, Country Facilitator</w:t>
      </w:r>
      <w:r w:rsidR="00AB4A9E" w:rsidRPr="00C211BC">
        <w:rPr>
          <w:b/>
          <w:sz w:val="20"/>
          <w:szCs w:val="20"/>
          <w:lang w:val="en-GB"/>
        </w:rPr>
        <w:t xml:space="preserve"> for Croatia</w:t>
      </w:r>
    </w:p>
    <w:p w:rsidR="00AB4A9E" w:rsidRPr="00C211BC" w:rsidRDefault="00AB4A9E" w:rsidP="00AB583C">
      <w:pPr>
        <w:spacing w:after="0" w:line="240" w:lineRule="auto"/>
        <w:jc w:val="both"/>
        <w:rPr>
          <w:b/>
          <w:sz w:val="20"/>
          <w:szCs w:val="20"/>
          <w:lang w:val="en-GB"/>
        </w:rPr>
      </w:pPr>
    </w:p>
    <w:p w:rsidR="00DE4D9D" w:rsidRPr="00C211BC" w:rsidRDefault="00524971" w:rsidP="00AB583C">
      <w:pPr>
        <w:spacing w:after="0" w:line="240" w:lineRule="auto"/>
        <w:jc w:val="both"/>
        <w:rPr>
          <w:rFonts w:cstheme="minorHAnsi"/>
          <w:sz w:val="20"/>
          <w:szCs w:val="20"/>
          <w:lang w:val="en-GB"/>
        </w:rPr>
      </w:pPr>
      <w:r w:rsidRPr="00C211BC">
        <w:rPr>
          <w:rFonts w:cstheme="minorHAnsi"/>
          <w:sz w:val="20"/>
          <w:szCs w:val="20"/>
          <w:lang w:val="en-GB"/>
        </w:rPr>
        <w:t xml:space="preserve">The </w:t>
      </w:r>
      <w:r w:rsidR="00DE4D9D" w:rsidRPr="00C211BC">
        <w:rPr>
          <w:rFonts w:cstheme="minorHAnsi"/>
          <w:sz w:val="20"/>
          <w:szCs w:val="20"/>
          <w:lang w:val="en-GB"/>
        </w:rPr>
        <w:t>National Centre for Exter</w:t>
      </w:r>
      <w:r w:rsidRPr="00C211BC">
        <w:rPr>
          <w:rFonts w:cstheme="minorHAnsi"/>
          <w:sz w:val="20"/>
          <w:szCs w:val="20"/>
          <w:lang w:val="en-GB"/>
        </w:rPr>
        <w:t xml:space="preserve">nal Evaluation of Education </w:t>
      </w:r>
      <w:r w:rsidR="00DE4D9D" w:rsidRPr="00C211BC">
        <w:rPr>
          <w:rFonts w:cstheme="minorHAnsi"/>
          <w:sz w:val="20"/>
          <w:szCs w:val="20"/>
          <w:lang w:val="en-GB"/>
        </w:rPr>
        <w:t>provide</w:t>
      </w:r>
      <w:r w:rsidRPr="00C211BC">
        <w:rPr>
          <w:rFonts w:cstheme="minorHAnsi"/>
          <w:sz w:val="20"/>
          <w:szCs w:val="20"/>
          <w:lang w:val="en-GB"/>
        </w:rPr>
        <w:t>s</w:t>
      </w:r>
      <w:r w:rsidR="00DE4D9D" w:rsidRPr="00C211BC">
        <w:rPr>
          <w:rFonts w:cstheme="minorHAnsi"/>
          <w:sz w:val="20"/>
          <w:szCs w:val="20"/>
          <w:lang w:val="en-GB"/>
        </w:rPr>
        <w:t xml:space="preserve"> assessment of the entire project implementation </w:t>
      </w:r>
      <w:r w:rsidR="00C211BC" w:rsidRPr="00C211BC">
        <w:rPr>
          <w:rFonts w:cstheme="minorHAnsi"/>
          <w:sz w:val="20"/>
          <w:szCs w:val="20"/>
          <w:lang w:val="en-GB"/>
        </w:rPr>
        <w:t>involving parents</w:t>
      </w:r>
      <w:r w:rsidR="00DE4D9D" w:rsidRPr="00C211BC">
        <w:rPr>
          <w:rFonts w:cstheme="minorHAnsi"/>
          <w:sz w:val="20"/>
          <w:szCs w:val="20"/>
          <w:lang w:val="en-GB"/>
        </w:rPr>
        <w:t>, children, teachers, Roma teacher assistants.</w:t>
      </w:r>
      <w:r w:rsidRPr="00C211BC">
        <w:rPr>
          <w:rFonts w:cstheme="minorHAnsi"/>
          <w:sz w:val="20"/>
          <w:szCs w:val="20"/>
          <w:lang w:val="en-GB"/>
        </w:rPr>
        <w:t xml:space="preserve"> Special focus is put on the quality and pedagogical impact of the preschool programs.</w:t>
      </w:r>
      <w:r w:rsidR="00DE4D9D" w:rsidRPr="00C211BC">
        <w:rPr>
          <w:rFonts w:cstheme="minorHAnsi"/>
          <w:sz w:val="20"/>
          <w:szCs w:val="20"/>
          <w:lang w:val="en-GB"/>
        </w:rPr>
        <w:t xml:space="preserve"> </w:t>
      </w:r>
      <w:r w:rsidRPr="00C211BC">
        <w:rPr>
          <w:rFonts w:cstheme="minorHAnsi"/>
          <w:sz w:val="20"/>
          <w:szCs w:val="20"/>
          <w:lang w:val="en-GB"/>
        </w:rPr>
        <w:t xml:space="preserve">NCEE will </w:t>
      </w:r>
      <w:r w:rsidR="00DE4D9D" w:rsidRPr="00C211BC">
        <w:rPr>
          <w:rFonts w:cstheme="minorHAnsi"/>
          <w:sz w:val="20"/>
          <w:szCs w:val="20"/>
          <w:lang w:val="en-GB"/>
        </w:rPr>
        <w:t>carry out a thorough initial survey and the final assessment of the implementation of the project which will provide basis for evaluation</w:t>
      </w:r>
      <w:r w:rsidRPr="00C211BC">
        <w:rPr>
          <w:rFonts w:cstheme="minorHAnsi"/>
          <w:sz w:val="20"/>
          <w:szCs w:val="20"/>
          <w:lang w:val="en-GB"/>
        </w:rPr>
        <w:t xml:space="preserve">. The following report contains data on the initial assessment which was carried out during February 2012. </w:t>
      </w:r>
    </w:p>
    <w:p w:rsidR="00DE4D9D" w:rsidRPr="00C211BC" w:rsidRDefault="00DE4D9D" w:rsidP="00AB583C">
      <w:pPr>
        <w:spacing w:after="0" w:line="240" w:lineRule="auto"/>
        <w:jc w:val="both"/>
        <w:rPr>
          <w:sz w:val="20"/>
          <w:szCs w:val="20"/>
          <w:lang w:val="en-GB"/>
        </w:rPr>
      </w:pPr>
    </w:p>
    <w:p w:rsidR="008B6BF6" w:rsidRPr="00C211BC" w:rsidRDefault="00524971" w:rsidP="00AB583C">
      <w:pPr>
        <w:spacing w:after="0" w:line="240" w:lineRule="auto"/>
        <w:jc w:val="both"/>
        <w:rPr>
          <w:sz w:val="20"/>
          <w:szCs w:val="20"/>
          <w:lang w:val="en-GB"/>
        </w:rPr>
      </w:pPr>
      <w:r w:rsidRPr="00C211BC">
        <w:rPr>
          <w:sz w:val="20"/>
          <w:szCs w:val="20"/>
          <w:lang w:val="en-GB"/>
        </w:rPr>
        <w:t>Within the NCEE the Department for the promotion of the quality of education took upon the task. The employees of this department carried out the initial assessment at following locations: Kindergarten Čakovec, Primary School Tomaša Goričanca, Mala Subotica, Primary school Vladimira Nazora, Pribislavec; Primary school dr. Ivana Novaka, Macinec, PS Kotoriba and PS Orehovica.</w:t>
      </w:r>
    </w:p>
    <w:p w:rsidR="00524971" w:rsidRPr="00C211BC" w:rsidRDefault="00524971" w:rsidP="00AB583C">
      <w:pPr>
        <w:spacing w:after="0" w:line="240" w:lineRule="auto"/>
        <w:jc w:val="both"/>
        <w:rPr>
          <w:sz w:val="20"/>
          <w:szCs w:val="20"/>
          <w:lang w:val="en-GB"/>
        </w:rPr>
      </w:pPr>
      <w:r w:rsidRPr="00C211BC">
        <w:rPr>
          <w:sz w:val="20"/>
          <w:szCs w:val="20"/>
          <w:lang w:val="en-GB"/>
        </w:rPr>
        <w:t xml:space="preserve">Following Roma settlements were visited: Parag, Livadarska, Dravska, Piškorovec, Kotoriba and Kuršanec. Parents were spoken to whose children are the beneficiaries of the preschool </w:t>
      </w:r>
      <w:r w:rsidR="00C211BC" w:rsidRPr="00C211BC">
        <w:rPr>
          <w:sz w:val="20"/>
          <w:szCs w:val="20"/>
          <w:lang w:val="en-GB"/>
        </w:rPr>
        <w:t>programme</w:t>
      </w:r>
      <w:r w:rsidRPr="00C211BC">
        <w:rPr>
          <w:sz w:val="20"/>
          <w:szCs w:val="20"/>
          <w:lang w:val="en-GB"/>
        </w:rPr>
        <w:t xml:space="preserve"> or have been attending preschool previously, and also with parents whose children never attended the </w:t>
      </w:r>
      <w:r w:rsidR="00C211BC" w:rsidRPr="00C211BC">
        <w:rPr>
          <w:sz w:val="20"/>
          <w:szCs w:val="20"/>
          <w:lang w:val="en-GB"/>
        </w:rPr>
        <w:t>programme</w:t>
      </w:r>
      <w:r w:rsidRPr="00C211BC">
        <w:rPr>
          <w:sz w:val="20"/>
          <w:szCs w:val="20"/>
          <w:lang w:val="en-GB"/>
        </w:rPr>
        <w:t xml:space="preserve">. Information </w:t>
      </w:r>
      <w:r w:rsidR="00C211BC" w:rsidRPr="00C211BC">
        <w:rPr>
          <w:sz w:val="20"/>
          <w:szCs w:val="20"/>
          <w:lang w:val="en-GB"/>
        </w:rPr>
        <w:t>was</w:t>
      </w:r>
      <w:r w:rsidRPr="00C211BC">
        <w:rPr>
          <w:sz w:val="20"/>
          <w:szCs w:val="20"/>
          <w:lang w:val="en-GB"/>
        </w:rPr>
        <w:t xml:space="preserve"> collected on opinions of parents regarding the preschool </w:t>
      </w:r>
      <w:r w:rsidR="00C211BC" w:rsidRPr="00C211BC">
        <w:rPr>
          <w:sz w:val="20"/>
          <w:szCs w:val="20"/>
          <w:lang w:val="en-GB"/>
        </w:rPr>
        <w:t>programme</w:t>
      </w:r>
      <w:r w:rsidRPr="00C211BC">
        <w:rPr>
          <w:sz w:val="20"/>
          <w:szCs w:val="20"/>
          <w:lang w:val="en-GB"/>
        </w:rPr>
        <w:t>.</w:t>
      </w:r>
    </w:p>
    <w:p w:rsidR="00524971" w:rsidRPr="00C211BC" w:rsidRDefault="00524971" w:rsidP="00AB583C">
      <w:pPr>
        <w:spacing w:after="0" w:line="240" w:lineRule="auto"/>
        <w:jc w:val="both"/>
        <w:rPr>
          <w:sz w:val="20"/>
          <w:szCs w:val="20"/>
          <w:lang w:val="en-GB"/>
        </w:rPr>
      </w:pPr>
      <w:r w:rsidRPr="00C211BC">
        <w:rPr>
          <w:sz w:val="20"/>
          <w:szCs w:val="20"/>
          <w:lang w:val="en-GB"/>
        </w:rPr>
        <w:t xml:space="preserve">The aim of the initial assessment was to inquire elements of quality of the </w:t>
      </w:r>
      <w:r w:rsidR="00C211BC" w:rsidRPr="00C211BC">
        <w:rPr>
          <w:sz w:val="20"/>
          <w:szCs w:val="20"/>
          <w:lang w:val="en-GB"/>
        </w:rPr>
        <w:t>programme</w:t>
      </w:r>
      <w:r w:rsidRPr="00C211BC">
        <w:rPr>
          <w:sz w:val="20"/>
          <w:szCs w:val="20"/>
          <w:lang w:val="en-GB"/>
        </w:rPr>
        <w:t xml:space="preserve"> With preschool education to full integration. With a goal to identify the initial status and to improve the </w:t>
      </w:r>
      <w:r w:rsidR="00C211BC" w:rsidRPr="00C211BC">
        <w:rPr>
          <w:sz w:val="20"/>
          <w:szCs w:val="20"/>
          <w:lang w:val="en-GB"/>
        </w:rPr>
        <w:t>programme</w:t>
      </w:r>
      <w:r w:rsidRPr="00C211BC">
        <w:rPr>
          <w:sz w:val="20"/>
          <w:szCs w:val="20"/>
          <w:lang w:val="en-GB"/>
        </w:rPr>
        <w:t xml:space="preserve"> an initial </w:t>
      </w:r>
      <w:r w:rsidR="00C211BC" w:rsidRPr="00C211BC">
        <w:rPr>
          <w:sz w:val="20"/>
          <w:szCs w:val="20"/>
          <w:lang w:val="en-GB"/>
        </w:rPr>
        <w:t>external</w:t>
      </w:r>
      <w:r w:rsidRPr="00C211BC">
        <w:rPr>
          <w:sz w:val="20"/>
          <w:szCs w:val="20"/>
          <w:lang w:val="en-GB"/>
        </w:rPr>
        <w:t xml:space="preserve"> evaluation of the quality of the </w:t>
      </w:r>
      <w:r w:rsidR="00C211BC" w:rsidRPr="00C211BC">
        <w:rPr>
          <w:sz w:val="20"/>
          <w:szCs w:val="20"/>
          <w:lang w:val="en-GB"/>
        </w:rPr>
        <w:t>programme</w:t>
      </w:r>
      <w:r w:rsidRPr="00C211BC">
        <w:rPr>
          <w:sz w:val="20"/>
          <w:szCs w:val="20"/>
          <w:lang w:val="en-GB"/>
        </w:rPr>
        <w:t xml:space="preserve"> was performed. The children were involved in the assessment along with the ones involved in the realisation of the </w:t>
      </w:r>
      <w:r w:rsidR="00C211BC" w:rsidRPr="00C211BC">
        <w:rPr>
          <w:sz w:val="20"/>
          <w:szCs w:val="20"/>
          <w:lang w:val="en-GB"/>
        </w:rPr>
        <w:t>programme</w:t>
      </w:r>
      <w:r w:rsidRPr="00C211BC">
        <w:rPr>
          <w:sz w:val="20"/>
          <w:szCs w:val="20"/>
          <w:lang w:val="en-GB"/>
        </w:rPr>
        <w:t>.</w:t>
      </w:r>
    </w:p>
    <w:p w:rsidR="00524971" w:rsidRPr="00C211BC" w:rsidRDefault="00524971" w:rsidP="00AB583C">
      <w:pPr>
        <w:spacing w:after="0" w:line="240" w:lineRule="auto"/>
        <w:jc w:val="both"/>
        <w:rPr>
          <w:sz w:val="20"/>
          <w:szCs w:val="20"/>
          <w:lang w:val="en-GB"/>
        </w:rPr>
      </w:pPr>
      <w:r w:rsidRPr="00C211BC">
        <w:rPr>
          <w:sz w:val="20"/>
          <w:szCs w:val="20"/>
          <w:lang w:val="en-GB"/>
        </w:rPr>
        <w:t xml:space="preserve">Age appropriate auxiliary materials were used (photographs, and drawings) in order to get insight in the initial status of use and knowledge of Croatian language in Roma children attending the </w:t>
      </w:r>
      <w:r w:rsidR="00C211BC" w:rsidRPr="00C211BC">
        <w:rPr>
          <w:sz w:val="20"/>
          <w:szCs w:val="20"/>
          <w:lang w:val="en-GB"/>
        </w:rPr>
        <w:t>programme</w:t>
      </w:r>
      <w:r w:rsidRPr="00C211BC">
        <w:rPr>
          <w:sz w:val="20"/>
          <w:szCs w:val="20"/>
          <w:lang w:val="en-GB"/>
        </w:rPr>
        <w:t>. Individual interviews were also carried out with the following target group members – preschool teachers, school experts, Roma teacher assistants, teachers of primary school and parents of children attending the preschool). The final assessment will be performed at the end of the program implementation.</w:t>
      </w:r>
    </w:p>
    <w:p w:rsidR="0012217C" w:rsidRPr="00C211BC" w:rsidRDefault="0012217C" w:rsidP="00AB583C">
      <w:pPr>
        <w:spacing w:after="0" w:line="240" w:lineRule="auto"/>
        <w:jc w:val="both"/>
        <w:rPr>
          <w:b/>
          <w:sz w:val="20"/>
          <w:szCs w:val="20"/>
          <w:lang w:val="en-GB"/>
        </w:rPr>
      </w:pPr>
      <w:r w:rsidRPr="00C211BC">
        <w:rPr>
          <w:b/>
          <w:sz w:val="20"/>
          <w:szCs w:val="20"/>
          <w:lang w:val="en-GB"/>
        </w:rPr>
        <w:t xml:space="preserve">Knowledge and use of Croatian language by children attending the </w:t>
      </w:r>
      <w:r w:rsidR="00C211BC" w:rsidRPr="00C211BC">
        <w:rPr>
          <w:b/>
          <w:sz w:val="20"/>
          <w:szCs w:val="20"/>
          <w:lang w:val="en-GB"/>
        </w:rPr>
        <w:t>programme</w:t>
      </w:r>
    </w:p>
    <w:p w:rsidR="0012217C" w:rsidRDefault="0012217C" w:rsidP="00AB583C">
      <w:pPr>
        <w:spacing w:after="0" w:line="240" w:lineRule="auto"/>
        <w:jc w:val="both"/>
        <w:rPr>
          <w:sz w:val="20"/>
          <w:szCs w:val="20"/>
          <w:lang w:val="en-GB"/>
        </w:rPr>
      </w:pPr>
      <w:r w:rsidRPr="00C211BC">
        <w:rPr>
          <w:sz w:val="20"/>
          <w:szCs w:val="20"/>
          <w:lang w:val="en-GB"/>
        </w:rPr>
        <w:t xml:space="preserve">Knowledge and use of Croatian language was assessed twofold, first by naming the </w:t>
      </w:r>
      <w:r w:rsidR="001911A3" w:rsidRPr="00C211BC">
        <w:rPr>
          <w:sz w:val="20"/>
          <w:szCs w:val="20"/>
          <w:lang w:val="en-GB"/>
        </w:rPr>
        <w:t xml:space="preserve">stimulus and leaving the children to recognise it, and then by showing the </w:t>
      </w:r>
      <w:r w:rsidR="00C211BC" w:rsidRPr="00C211BC">
        <w:rPr>
          <w:sz w:val="20"/>
          <w:szCs w:val="20"/>
          <w:lang w:val="en-GB"/>
        </w:rPr>
        <w:t>stimulus</w:t>
      </w:r>
      <w:r w:rsidR="001911A3" w:rsidRPr="00C211BC">
        <w:rPr>
          <w:sz w:val="20"/>
          <w:szCs w:val="20"/>
          <w:lang w:val="en-GB"/>
        </w:rPr>
        <w:t xml:space="preserve"> and assessing the recognition and reproduction in Croatian and Roma language</w:t>
      </w:r>
    </w:p>
    <w:p w:rsidR="008111E9" w:rsidRPr="00C211BC" w:rsidRDefault="008111E9" w:rsidP="00AB583C">
      <w:pPr>
        <w:spacing w:after="0" w:line="240" w:lineRule="auto"/>
        <w:jc w:val="both"/>
        <w:rPr>
          <w:sz w:val="20"/>
          <w:szCs w:val="20"/>
          <w:lang w:val="en-GB"/>
        </w:rPr>
      </w:pPr>
    </w:p>
    <w:p w:rsidR="00513A57" w:rsidRDefault="001911A3" w:rsidP="00AB583C">
      <w:pPr>
        <w:spacing w:after="0" w:line="240" w:lineRule="auto"/>
        <w:jc w:val="both"/>
        <w:rPr>
          <w:b/>
          <w:sz w:val="20"/>
          <w:szCs w:val="20"/>
          <w:lang w:val="en-GB"/>
        </w:rPr>
      </w:pPr>
      <w:r w:rsidRPr="008111E9">
        <w:rPr>
          <w:b/>
          <w:sz w:val="20"/>
          <w:szCs w:val="20"/>
          <w:lang w:val="en-GB"/>
        </w:rPr>
        <w:t xml:space="preserve">Average results </w:t>
      </w:r>
      <w:r w:rsidR="008111E9">
        <w:rPr>
          <w:b/>
          <w:sz w:val="20"/>
          <w:szCs w:val="20"/>
          <w:lang w:val="en-GB"/>
        </w:rPr>
        <w:t xml:space="preserve">for all locations </w:t>
      </w:r>
    </w:p>
    <w:p w:rsidR="008111E9" w:rsidRPr="008111E9" w:rsidRDefault="008111E9" w:rsidP="00AB583C">
      <w:pPr>
        <w:spacing w:after="0" w:line="240" w:lineRule="auto"/>
        <w:jc w:val="both"/>
        <w:rPr>
          <w:b/>
          <w:sz w:val="20"/>
          <w:szCs w:val="20"/>
          <w:lang w:val="en-GB"/>
        </w:rPr>
      </w:pPr>
    </w:p>
    <w:p w:rsidR="001911A3" w:rsidRPr="008111E9" w:rsidRDefault="001911A3" w:rsidP="00AB583C">
      <w:pPr>
        <w:spacing w:after="0" w:line="240" w:lineRule="auto"/>
        <w:jc w:val="both"/>
        <w:rPr>
          <w:b/>
          <w:sz w:val="20"/>
          <w:szCs w:val="20"/>
          <w:lang w:val="en-GB"/>
        </w:rPr>
      </w:pPr>
      <w:r w:rsidRPr="008111E9">
        <w:rPr>
          <w:b/>
          <w:sz w:val="20"/>
          <w:szCs w:val="20"/>
          <w:lang w:val="en-GB"/>
        </w:rPr>
        <w:t xml:space="preserve">Table 1 – Success in recognition of the </w:t>
      </w:r>
      <w:r w:rsidR="00C211BC" w:rsidRPr="008111E9">
        <w:rPr>
          <w:b/>
          <w:sz w:val="20"/>
          <w:szCs w:val="20"/>
          <w:lang w:val="en-GB"/>
        </w:rPr>
        <w:t>stimulus</w:t>
      </w:r>
      <w:r w:rsidRPr="008111E9">
        <w:rPr>
          <w:b/>
          <w:sz w:val="20"/>
          <w:szCs w:val="20"/>
          <w:lang w:val="en-GB"/>
        </w:rPr>
        <w:t xml:space="preserve"> in case of naming it </w:t>
      </w:r>
    </w:p>
    <w:tbl>
      <w:tblPr>
        <w:tblStyle w:val="TableGrid"/>
        <w:tblW w:w="0" w:type="auto"/>
        <w:tblLook w:val="04A0"/>
      </w:tblPr>
      <w:tblGrid>
        <w:gridCol w:w="3192"/>
        <w:gridCol w:w="3192"/>
        <w:gridCol w:w="3192"/>
      </w:tblGrid>
      <w:tr w:rsidR="00513A57" w:rsidRPr="00C211BC" w:rsidTr="00513A57">
        <w:trPr>
          <w:trHeight w:val="351"/>
        </w:trPr>
        <w:tc>
          <w:tcPr>
            <w:tcW w:w="3192" w:type="dxa"/>
          </w:tcPr>
          <w:p w:rsidR="00513A57" w:rsidRPr="00C211BC" w:rsidRDefault="00513A57" w:rsidP="00AB583C">
            <w:pPr>
              <w:jc w:val="both"/>
              <w:rPr>
                <w:sz w:val="20"/>
                <w:szCs w:val="20"/>
                <w:lang w:val="en-GB"/>
              </w:rPr>
            </w:pPr>
            <w:r w:rsidRPr="00C211BC">
              <w:rPr>
                <w:sz w:val="20"/>
                <w:szCs w:val="20"/>
                <w:lang w:val="en-GB"/>
              </w:rPr>
              <w:t>Recognition in Croatian language</w:t>
            </w:r>
          </w:p>
          <w:p w:rsidR="00513A57" w:rsidRPr="00C211BC" w:rsidRDefault="00513A57" w:rsidP="00AB583C">
            <w:pPr>
              <w:jc w:val="both"/>
              <w:rPr>
                <w:sz w:val="20"/>
                <w:szCs w:val="20"/>
                <w:lang w:val="en-GB"/>
              </w:rPr>
            </w:pPr>
          </w:p>
        </w:tc>
        <w:tc>
          <w:tcPr>
            <w:tcW w:w="3192" w:type="dxa"/>
          </w:tcPr>
          <w:p w:rsidR="00513A57" w:rsidRPr="00C211BC" w:rsidRDefault="00513A57" w:rsidP="00AB583C">
            <w:pPr>
              <w:jc w:val="both"/>
              <w:rPr>
                <w:sz w:val="20"/>
                <w:szCs w:val="20"/>
                <w:lang w:val="en-GB"/>
              </w:rPr>
            </w:pPr>
            <w:r w:rsidRPr="00C211BC">
              <w:rPr>
                <w:sz w:val="20"/>
                <w:szCs w:val="20"/>
                <w:lang w:val="en-GB"/>
              </w:rPr>
              <w:t>In Roma language</w:t>
            </w:r>
          </w:p>
        </w:tc>
        <w:tc>
          <w:tcPr>
            <w:tcW w:w="3192" w:type="dxa"/>
          </w:tcPr>
          <w:p w:rsidR="00513A57" w:rsidRPr="00C211BC" w:rsidRDefault="00513A57" w:rsidP="00AB583C">
            <w:pPr>
              <w:jc w:val="both"/>
              <w:rPr>
                <w:sz w:val="20"/>
                <w:szCs w:val="20"/>
                <w:lang w:val="en-GB"/>
              </w:rPr>
            </w:pPr>
            <w:r w:rsidRPr="00C211BC">
              <w:rPr>
                <w:sz w:val="20"/>
                <w:szCs w:val="20"/>
                <w:lang w:val="en-GB"/>
              </w:rPr>
              <w:t>No recognition</w:t>
            </w:r>
          </w:p>
        </w:tc>
      </w:tr>
      <w:tr w:rsidR="00513A57" w:rsidRPr="00C211BC" w:rsidTr="00513A57">
        <w:tc>
          <w:tcPr>
            <w:tcW w:w="3192" w:type="dxa"/>
          </w:tcPr>
          <w:p w:rsidR="00513A57" w:rsidRPr="00C211BC" w:rsidRDefault="00513A57" w:rsidP="00AB583C">
            <w:pPr>
              <w:jc w:val="both"/>
              <w:rPr>
                <w:sz w:val="20"/>
                <w:szCs w:val="20"/>
                <w:lang w:val="en-GB"/>
              </w:rPr>
            </w:pPr>
            <w:r w:rsidRPr="00C211BC">
              <w:rPr>
                <w:sz w:val="20"/>
                <w:szCs w:val="20"/>
                <w:lang w:val="en-GB"/>
              </w:rPr>
              <w:t>82%</w:t>
            </w:r>
          </w:p>
        </w:tc>
        <w:tc>
          <w:tcPr>
            <w:tcW w:w="3192" w:type="dxa"/>
          </w:tcPr>
          <w:p w:rsidR="00513A57" w:rsidRPr="00C211BC" w:rsidRDefault="00513A57" w:rsidP="00AB583C">
            <w:pPr>
              <w:jc w:val="both"/>
              <w:rPr>
                <w:sz w:val="20"/>
                <w:szCs w:val="20"/>
                <w:lang w:val="en-GB"/>
              </w:rPr>
            </w:pPr>
            <w:r w:rsidRPr="00C211BC">
              <w:rPr>
                <w:sz w:val="20"/>
                <w:szCs w:val="20"/>
                <w:lang w:val="en-GB"/>
              </w:rPr>
              <w:t>8,75%</w:t>
            </w:r>
          </w:p>
        </w:tc>
        <w:tc>
          <w:tcPr>
            <w:tcW w:w="3192" w:type="dxa"/>
          </w:tcPr>
          <w:p w:rsidR="00513A57" w:rsidRPr="00C211BC" w:rsidRDefault="00513A57" w:rsidP="00AB583C">
            <w:pPr>
              <w:jc w:val="both"/>
              <w:rPr>
                <w:sz w:val="20"/>
                <w:szCs w:val="20"/>
                <w:lang w:val="en-GB"/>
              </w:rPr>
            </w:pPr>
            <w:r w:rsidRPr="00C211BC">
              <w:rPr>
                <w:sz w:val="20"/>
                <w:szCs w:val="20"/>
                <w:lang w:val="en-GB"/>
              </w:rPr>
              <w:t>9,25%</w:t>
            </w:r>
          </w:p>
        </w:tc>
      </w:tr>
    </w:tbl>
    <w:p w:rsidR="00513A57" w:rsidRPr="00C211BC" w:rsidRDefault="00513A57" w:rsidP="00AB583C">
      <w:pPr>
        <w:spacing w:after="0" w:line="240" w:lineRule="auto"/>
        <w:jc w:val="both"/>
        <w:rPr>
          <w:sz w:val="20"/>
          <w:szCs w:val="20"/>
          <w:lang w:val="en-GB"/>
        </w:rPr>
      </w:pPr>
    </w:p>
    <w:p w:rsidR="001911A3" w:rsidRPr="008111E9" w:rsidRDefault="00513A57" w:rsidP="00AB583C">
      <w:pPr>
        <w:spacing w:after="0" w:line="240" w:lineRule="auto"/>
        <w:jc w:val="both"/>
        <w:rPr>
          <w:b/>
          <w:sz w:val="20"/>
          <w:szCs w:val="20"/>
          <w:lang w:val="en-GB"/>
        </w:rPr>
      </w:pPr>
      <w:r w:rsidRPr="008111E9">
        <w:rPr>
          <w:b/>
          <w:sz w:val="20"/>
          <w:szCs w:val="20"/>
          <w:lang w:val="en-GB"/>
        </w:rPr>
        <w:t xml:space="preserve">Table 2 – </w:t>
      </w:r>
      <w:r w:rsidR="00C211BC" w:rsidRPr="008111E9">
        <w:rPr>
          <w:b/>
          <w:sz w:val="20"/>
          <w:szCs w:val="20"/>
          <w:lang w:val="en-GB"/>
        </w:rPr>
        <w:t>Success</w:t>
      </w:r>
      <w:r w:rsidRPr="008111E9">
        <w:rPr>
          <w:b/>
          <w:sz w:val="20"/>
          <w:szCs w:val="20"/>
          <w:lang w:val="en-GB"/>
        </w:rPr>
        <w:t xml:space="preserve"> in recognizing the </w:t>
      </w:r>
      <w:r w:rsidR="00C211BC" w:rsidRPr="008111E9">
        <w:rPr>
          <w:b/>
          <w:sz w:val="20"/>
          <w:szCs w:val="20"/>
          <w:lang w:val="en-GB"/>
        </w:rPr>
        <w:t>stimulus</w:t>
      </w:r>
      <w:r w:rsidRPr="008111E9">
        <w:rPr>
          <w:b/>
          <w:sz w:val="20"/>
          <w:szCs w:val="20"/>
          <w:lang w:val="en-GB"/>
        </w:rPr>
        <w:t xml:space="preserve"> (presented picture) and naming (reproduction) in different languages</w:t>
      </w:r>
    </w:p>
    <w:tbl>
      <w:tblPr>
        <w:tblStyle w:val="TableGrid"/>
        <w:tblW w:w="0" w:type="auto"/>
        <w:tblLook w:val="04A0"/>
      </w:tblPr>
      <w:tblGrid>
        <w:gridCol w:w="3192"/>
        <w:gridCol w:w="3192"/>
        <w:gridCol w:w="3192"/>
      </w:tblGrid>
      <w:tr w:rsidR="00513A57" w:rsidRPr="00C211BC" w:rsidTr="006946D2">
        <w:trPr>
          <w:trHeight w:val="351"/>
        </w:trPr>
        <w:tc>
          <w:tcPr>
            <w:tcW w:w="3192" w:type="dxa"/>
          </w:tcPr>
          <w:p w:rsidR="00513A57" w:rsidRPr="00C211BC" w:rsidRDefault="00513A57" w:rsidP="00AB583C">
            <w:pPr>
              <w:jc w:val="both"/>
              <w:rPr>
                <w:sz w:val="20"/>
                <w:szCs w:val="20"/>
                <w:lang w:val="en-GB"/>
              </w:rPr>
            </w:pPr>
            <w:r w:rsidRPr="00C211BC">
              <w:rPr>
                <w:sz w:val="20"/>
                <w:szCs w:val="20"/>
                <w:lang w:val="en-GB"/>
              </w:rPr>
              <w:t>Recognition in Croatian language</w:t>
            </w:r>
          </w:p>
          <w:p w:rsidR="00513A57" w:rsidRPr="00C211BC" w:rsidRDefault="00513A57" w:rsidP="00AB583C">
            <w:pPr>
              <w:jc w:val="both"/>
              <w:rPr>
                <w:sz w:val="20"/>
                <w:szCs w:val="20"/>
                <w:lang w:val="en-GB"/>
              </w:rPr>
            </w:pPr>
          </w:p>
        </w:tc>
        <w:tc>
          <w:tcPr>
            <w:tcW w:w="3192" w:type="dxa"/>
          </w:tcPr>
          <w:p w:rsidR="00513A57" w:rsidRPr="00C211BC" w:rsidRDefault="00513A57" w:rsidP="00AB583C">
            <w:pPr>
              <w:jc w:val="both"/>
              <w:rPr>
                <w:sz w:val="20"/>
                <w:szCs w:val="20"/>
                <w:lang w:val="en-GB"/>
              </w:rPr>
            </w:pPr>
            <w:r w:rsidRPr="00C211BC">
              <w:rPr>
                <w:sz w:val="20"/>
                <w:szCs w:val="20"/>
                <w:lang w:val="en-GB"/>
              </w:rPr>
              <w:t>In Roma language</w:t>
            </w:r>
          </w:p>
        </w:tc>
        <w:tc>
          <w:tcPr>
            <w:tcW w:w="3192" w:type="dxa"/>
          </w:tcPr>
          <w:p w:rsidR="00513A57" w:rsidRPr="00C211BC" w:rsidRDefault="00513A57" w:rsidP="00AB583C">
            <w:pPr>
              <w:jc w:val="both"/>
              <w:rPr>
                <w:sz w:val="20"/>
                <w:szCs w:val="20"/>
                <w:lang w:val="en-GB"/>
              </w:rPr>
            </w:pPr>
            <w:r w:rsidRPr="00C211BC">
              <w:rPr>
                <w:sz w:val="20"/>
                <w:szCs w:val="20"/>
                <w:lang w:val="en-GB"/>
              </w:rPr>
              <w:t>No recognition</w:t>
            </w:r>
          </w:p>
        </w:tc>
      </w:tr>
      <w:tr w:rsidR="00513A57" w:rsidRPr="00C211BC" w:rsidTr="006946D2">
        <w:trPr>
          <w:trHeight w:val="351"/>
        </w:trPr>
        <w:tc>
          <w:tcPr>
            <w:tcW w:w="3192" w:type="dxa"/>
          </w:tcPr>
          <w:p w:rsidR="00513A57" w:rsidRPr="00C211BC" w:rsidRDefault="00513A57" w:rsidP="00AB583C">
            <w:pPr>
              <w:jc w:val="both"/>
              <w:rPr>
                <w:sz w:val="20"/>
                <w:szCs w:val="20"/>
                <w:lang w:val="en-GB"/>
              </w:rPr>
            </w:pPr>
            <w:r w:rsidRPr="00C211BC">
              <w:rPr>
                <w:sz w:val="20"/>
                <w:szCs w:val="20"/>
                <w:lang w:val="en-GB"/>
              </w:rPr>
              <w:t>64,1%</w:t>
            </w:r>
          </w:p>
        </w:tc>
        <w:tc>
          <w:tcPr>
            <w:tcW w:w="3192" w:type="dxa"/>
          </w:tcPr>
          <w:p w:rsidR="00513A57" w:rsidRPr="00C211BC" w:rsidRDefault="00513A57" w:rsidP="00AB583C">
            <w:pPr>
              <w:jc w:val="both"/>
              <w:rPr>
                <w:sz w:val="20"/>
                <w:szCs w:val="20"/>
                <w:lang w:val="en-GB"/>
              </w:rPr>
            </w:pPr>
            <w:r w:rsidRPr="00C211BC">
              <w:rPr>
                <w:sz w:val="20"/>
                <w:szCs w:val="20"/>
                <w:lang w:val="en-GB"/>
              </w:rPr>
              <w:t>17,56%</w:t>
            </w:r>
          </w:p>
        </w:tc>
        <w:tc>
          <w:tcPr>
            <w:tcW w:w="3192" w:type="dxa"/>
          </w:tcPr>
          <w:p w:rsidR="00513A57" w:rsidRPr="00C211BC" w:rsidRDefault="00513A57" w:rsidP="00AB583C">
            <w:pPr>
              <w:jc w:val="both"/>
              <w:rPr>
                <w:sz w:val="20"/>
                <w:szCs w:val="20"/>
                <w:lang w:val="en-GB"/>
              </w:rPr>
            </w:pPr>
            <w:r w:rsidRPr="00C211BC">
              <w:rPr>
                <w:sz w:val="20"/>
                <w:szCs w:val="20"/>
                <w:lang w:val="en-GB"/>
              </w:rPr>
              <w:t>5,9%</w:t>
            </w:r>
          </w:p>
        </w:tc>
      </w:tr>
    </w:tbl>
    <w:p w:rsidR="0012217C" w:rsidRPr="00C211BC" w:rsidRDefault="0012217C" w:rsidP="00AB583C">
      <w:pPr>
        <w:spacing w:after="0" w:line="240" w:lineRule="auto"/>
        <w:jc w:val="both"/>
        <w:rPr>
          <w:sz w:val="20"/>
          <w:szCs w:val="20"/>
          <w:lang w:val="en-GB"/>
        </w:rPr>
      </w:pPr>
    </w:p>
    <w:p w:rsidR="001F6B0F" w:rsidRPr="00C211BC" w:rsidRDefault="001F6B0F" w:rsidP="00AB583C">
      <w:pPr>
        <w:spacing w:after="0" w:line="240" w:lineRule="auto"/>
        <w:jc w:val="both"/>
        <w:rPr>
          <w:sz w:val="20"/>
          <w:szCs w:val="20"/>
          <w:lang w:val="en-GB"/>
        </w:rPr>
      </w:pPr>
      <w:r w:rsidRPr="00C211BC">
        <w:rPr>
          <w:sz w:val="20"/>
          <w:szCs w:val="20"/>
          <w:lang w:val="en-GB"/>
        </w:rPr>
        <w:t xml:space="preserve">Initial assessment of the children's knowledge and use of Croatian language is </w:t>
      </w:r>
      <w:r w:rsidR="00C211BC" w:rsidRPr="00C211BC">
        <w:rPr>
          <w:sz w:val="20"/>
          <w:szCs w:val="20"/>
          <w:lang w:val="en-GB"/>
        </w:rPr>
        <w:t>generally</w:t>
      </w:r>
      <w:r w:rsidRPr="00C211BC">
        <w:rPr>
          <w:sz w:val="20"/>
          <w:szCs w:val="20"/>
          <w:lang w:val="en-GB"/>
        </w:rPr>
        <w:t xml:space="preserve"> far worse than the results of the testing made by the NCEE staff shows. Their assessment of the </w:t>
      </w:r>
      <w:r w:rsidR="00C211BC" w:rsidRPr="00C211BC">
        <w:rPr>
          <w:sz w:val="20"/>
          <w:szCs w:val="20"/>
          <w:lang w:val="en-GB"/>
        </w:rPr>
        <w:t>children’s</w:t>
      </w:r>
      <w:r w:rsidRPr="00C211BC">
        <w:rPr>
          <w:sz w:val="20"/>
          <w:szCs w:val="20"/>
          <w:lang w:val="en-GB"/>
        </w:rPr>
        <w:t xml:space="preserve"> knowledge and use of Croatian is „very low“ or „none“ and all teachers emphasise lack of hygienic </w:t>
      </w:r>
      <w:r w:rsidR="00C211BC" w:rsidRPr="00C211BC">
        <w:rPr>
          <w:sz w:val="20"/>
          <w:szCs w:val="20"/>
          <w:lang w:val="en-GB"/>
        </w:rPr>
        <w:t>habits</w:t>
      </w:r>
      <w:r w:rsidRPr="00C211BC">
        <w:rPr>
          <w:sz w:val="20"/>
          <w:szCs w:val="20"/>
          <w:lang w:val="en-GB"/>
        </w:rPr>
        <w:t xml:space="preserve">, and „cultural </w:t>
      </w:r>
      <w:r w:rsidR="00C211BC" w:rsidRPr="00C211BC">
        <w:rPr>
          <w:sz w:val="20"/>
          <w:szCs w:val="20"/>
          <w:lang w:val="en-GB"/>
        </w:rPr>
        <w:t>habits</w:t>
      </w:r>
      <w:r w:rsidRPr="00C211BC">
        <w:rPr>
          <w:sz w:val="20"/>
          <w:szCs w:val="20"/>
          <w:lang w:val="en-GB"/>
        </w:rPr>
        <w:t xml:space="preserve">“ , problems in </w:t>
      </w:r>
      <w:r w:rsidRPr="00C211BC">
        <w:rPr>
          <w:sz w:val="20"/>
          <w:szCs w:val="20"/>
          <w:lang w:val="en-GB"/>
        </w:rPr>
        <w:lastRenderedPageBreak/>
        <w:t xml:space="preserve">socialization,  and lack of social skills. The reasons for that they find in specific conditions of living in Roma settlements, illiteracy of parents. Only in Kotoriba the teachers and school experts assess that the level of knowledge and use of Croatian language is satisfactory and that the hygienic habits are satisfactory as well. It is interesting that the </w:t>
      </w:r>
      <w:r w:rsidR="00C211BC" w:rsidRPr="00C211BC">
        <w:rPr>
          <w:sz w:val="20"/>
          <w:szCs w:val="20"/>
          <w:lang w:val="en-GB"/>
        </w:rPr>
        <w:t>results of the assessment of the NCEE staff for this location do</w:t>
      </w:r>
      <w:r w:rsidRPr="00C211BC">
        <w:rPr>
          <w:sz w:val="20"/>
          <w:szCs w:val="20"/>
          <w:lang w:val="en-GB"/>
        </w:rPr>
        <w:t xml:space="preserve"> not record best results and success rate of knowledge of Croatian language. So,</w:t>
      </w:r>
      <w:r w:rsidR="00CF31E3">
        <w:rPr>
          <w:sz w:val="20"/>
          <w:szCs w:val="20"/>
          <w:lang w:val="en-GB"/>
        </w:rPr>
        <w:t xml:space="preserve"> a difference in the perception</w:t>
      </w:r>
      <w:r w:rsidRPr="00C211BC">
        <w:rPr>
          <w:sz w:val="20"/>
          <w:szCs w:val="20"/>
          <w:lang w:val="en-GB"/>
        </w:rPr>
        <w:t xml:space="preserve"> of the school</w:t>
      </w:r>
      <w:r w:rsidR="00CF31E3">
        <w:rPr>
          <w:sz w:val="20"/>
          <w:szCs w:val="20"/>
          <w:lang w:val="en-GB"/>
        </w:rPr>
        <w:t xml:space="preserve"> staff can be observed, hence, </w:t>
      </w:r>
      <w:r w:rsidRPr="00C211BC">
        <w:rPr>
          <w:sz w:val="20"/>
          <w:szCs w:val="20"/>
          <w:lang w:val="en-GB"/>
        </w:rPr>
        <w:t xml:space="preserve">in some schools children achieved significantly higher results than in Kotoriba </w:t>
      </w:r>
      <w:r w:rsidR="00CF31E3">
        <w:rPr>
          <w:sz w:val="20"/>
          <w:szCs w:val="20"/>
          <w:lang w:val="en-GB"/>
        </w:rPr>
        <w:t xml:space="preserve">(even up to 95% in Croatian language) </w:t>
      </w:r>
      <w:r w:rsidRPr="00C211BC">
        <w:rPr>
          <w:sz w:val="20"/>
          <w:szCs w:val="20"/>
          <w:lang w:val="en-GB"/>
        </w:rPr>
        <w:t xml:space="preserve">and the school staff regardless of that assessed their </w:t>
      </w:r>
      <w:r w:rsidR="00C211BC" w:rsidRPr="00C211BC">
        <w:rPr>
          <w:sz w:val="20"/>
          <w:szCs w:val="20"/>
          <w:lang w:val="en-GB"/>
        </w:rPr>
        <w:t>knowledge to</w:t>
      </w:r>
      <w:r w:rsidRPr="00C211BC">
        <w:rPr>
          <w:sz w:val="20"/>
          <w:szCs w:val="20"/>
          <w:lang w:val="en-GB"/>
        </w:rPr>
        <w:t xml:space="preserve"> be very poor or none.</w:t>
      </w:r>
    </w:p>
    <w:p w:rsidR="009B3850" w:rsidRDefault="00524971" w:rsidP="00AB583C">
      <w:pPr>
        <w:spacing w:after="0" w:line="240" w:lineRule="auto"/>
        <w:jc w:val="both"/>
        <w:rPr>
          <w:sz w:val="20"/>
          <w:szCs w:val="20"/>
          <w:lang w:val="en-GB"/>
        </w:rPr>
      </w:pPr>
      <w:r w:rsidRPr="00C211BC">
        <w:rPr>
          <w:sz w:val="20"/>
          <w:szCs w:val="20"/>
          <w:lang w:val="en-GB"/>
        </w:rPr>
        <w:t xml:space="preserve">The following Table includes data on findings according to </w:t>
      </w:r>
      <w:r w:rsidR="009B3850" w:rsidRPr="00C211BC">
        <w:rPr>
          <w:sz w:val="20"/>
          <w:szCs w:val="20"/>
          <w:lang w:val="en-GB"/>
        </w:rPr>
        <w:t xml:space="preserve">other </w:t>
      </w:r>
      <w:r w:rsidR="00C211BC">
        <w:rPr>
          <w:sz w:val="20"/>
          <w:szCs w:val="20"/>
          <w:lang w:val="en-GB"/>
        </w:rPr>
        <w:t xml:space="preserve">defined areas of evaluation: </w:t>
      </w:r>
      <w:r w:rsidR="009B3850" w:rsidRPr="00C211BC">
        <w:rPr>
          <w:sz w:val="20"/>
          <w:szCs w:val="20"/>
          <w:lang w:val="en-GB"/>
        </w:rPr>
        <w:t xml:space="preserve">Material-technical conditions, cooperation within the institution, cooperation with the local community, professional staff availability, </w:t>
      </w:r>
      <w:proofErr w:type="gramStart"/>
      <w:r w:rsidR="009B3850" w:rsidRPr="00C211BC">
        <w:rPr>
          <w:sz w:val="20"/>
          <w:szCs w:val="20"/>
          <w:lang w:val="en-GB"/>
        </w:rPr>
        <w:t>cooperation</w:t>
      </w:r>
      <w:proofErr w:type="gramEnd"/>
      <w:r w:rsidR="009B3850" w:rsidRPr="00C211BC">
        <w:rPr>
          <w:sz w:val="20"/>
          <w:szCs w:val="20"/>
          <w:lang w:val="en-GB"/>
        </w:rPr>
        <w:t xml:space="preserve"> with parents.  Scale for evaluation used ranges from 1 to 5, one being the lowest and five </w:t>
      </w:r>
      <w:r w:rsidR="00C211BC" w:rsidRPr="00C211BC">
        <w:rPr>
          <w:sz w:val="20"/>
          <w:szCs w:val="20"/>
          <w:lang w:val="en-GB"/>
        </w:rPr>
        <w:t>being</w:t>
      </w:r>
      <w:r w:rsidR="009B3850" w:rsidRPr="00C211BC">
        <w:rPr>
          <w:sz w:val="20"/>
          <w:szCs w:val="20"/>
          <w:lang w:val="en-GB"/>
        </w:rPr>
        <w:t xml:space="preserve"> the highest mark of success.</w:t>
      </w:r>
    </w:p>
    <w:p w:rsidR="00C211BC" w:rsidRPr="00C211BC" w:rsidRDefault="00C211BC" w:rsidP="00AB583C">
      <w:pPr>
        <w:spacing w:after="0" w:line="240" w:lineRule="auto"/>
        <w:jc w:val="both"/>
        <w:rPr>
          <w:sz w:val="20"/>
          <w:szCs w:val="20"/>
          <w:lang w:val="en-GB"/>
        </w:rPr>
      </w:pPr>
    </w:p>
    <w:p w:rsidR="009B3850" w:rsidRPr="008111E9" w:rsidRDefault="009B3850" w:rsidP="00AB583C">
      <w:pPr>
        <w:spacing w:after="0" w:line="240" w:lineRule="auto"/>
        <w:jc w:val="both"/>
        <w:rPr>
          <w:b/>
          <w:sz w:val="20"/>
          <w:szCs w:val="20"/>
          <w:lang w:val="en-GB"/>
        </w:rPr>
      </w:pPr>
      <w:r w:rsidRPr="008111E9">
        <w:rPr>
          <w:b/>
          <w:sz w:val="20"/>
          <w:szCs w:val="20"/>
          <w:lang w:val="en-GB"/>
        </w:rPr>
        <w:t>Averag</w:t>
      </w:r>
      <w:r w:rsidR="008111E9">
        <w:rPr>
          <w:b/>
          <w:sz w:val="20"/>
          <w:szCs w:val="20"/>
          <w:lang w:val="en-GB"/>
        </w:rPr>
        <w:t xml:space="preserve">e results for all locations </w:t>
      </w:r>
    </w:p>
    <w:p w:rsidR="00C211BC" w:rsidRPr="00C211BC" w:rsidRDefault="00C211BC" w:rsidP="00AB583C">
      <w:pPr>
        <w:spacing w:after="0" w:line="240" w:lineRule="auto"/>
        <w:jc w:val="both"/>
        <w:rPr>
          <w:sz w:val="20"/>
          <w:szCs w:val="20"/>
          <w:lang w:val="en-GB"/>
        </w:rPr>
      </w:pPr>
    </w:p>
    <w:tbl>
      <w:tblPr>
        <w:tblStyle w:val="TableGrid"/>
        <w:tblW w:w="0" w:type="auto"/>
        <w:tblLook w:val="04A0"/>
      </w:tblPr>
      <w:tblGrid>
        <w:gridCol w:w="4788"/>
        <w:gridCol w:w="990"/>
      </w:tblGrid>
      <w:tr w:rsidR="009B3850" w:rsidRPr="00C211BC" w:rsidTr="009B3850">
        <w:tc>
          <w:tcPr>
            <w:tcW w:w="4788" w:type="dxa"/>
          </w:tcPr>
          <w:p w:rsidR="009B3850" w:rsidRPr="00C211BC" w:rsidRDefault="009B3850" w:rsidP="00AB583C">
            <w:pPr>
              <w:jc w:val="both"/>
              <w:rPr>
                <w:sz w:val="20"/>
                <w:szCs w:val="20"/>
                <w:lang w:val="en-GB"/>
              </w:rPr>
            </w:pPr>
            <w:r w:rsidRPr="00C211BC">
              <w:rPr>
                <w:sz w:val="20"/>
                <w:szCs w:val="20"/>
                <w:lang w:val="en-GB"/>
              </w:rPr>
              <w:t>MATERIAL –TECHNICAL CONDITIONS</w:t>
            </w:r>
          </w:p>
        </w:tc>
        <w:tc>
          <w:tcPr>
            <w:tcW w:w="990" w:type="dxa"/>
          </w:tcPr>
          <w:p w:rsidR="009B3850" w:rsidRPr="00C211BC" w:rsidRDefault="00E22C0E" w:rsidP="00AB583C">
            <w:pPr>
              <w:jc w:val="both"/>
              <w:rPr>
                <w:sz w:val="20"/>
                <w:szCs w:val="20"/>
                <w:lang w:val="en-GB"/>
              </w:rPr>
            </w:pPr>
            <w:r w:rsidRPr="00C211BC">
              <w:rPr>
                <w:sz w:val="20"/>
                <w:szCs w:val="20"/>
                <w:lang w:val="en-GB"/>
              </w:rPr>
              <w:t>4,1</w:t>
            </w:r>
          </w:p>
        </w:tc>
      </w:tr>
      <w:tr w:rsidR="009B3850" w:rsidRPr="00C211BC" w:rsidTr="009B3850">
        <w:tc>
          <w:tcPr>
            <w:tcW w:w="4788" w:type="dxa"/>
          </w:tcPr>
          <w:p w:rsidR="009B3850" w:rsidRPr="00C211BC" w:rsidRDefault="009B3850" w:rsidP="00AB583C">
            <w:pPr>
              <w:jc w:val="both"/>
              <w:rPr>
                <w:sz w:val="20"/>
                <w:szCs w:val="20"/>
                <w:lang w:val="en-GB"/>
              </w:rPr>
            </w:pPr>
            <w:r w:rsidRPr="00C211BC">
              <w:rPr>
                <w:sz w:val="20"/>
                <w:szCs w:val="20"/>
                <w:lang w:val="en-GB"/>
              </w:rPr>
              <w:t>COOPERATION WITHIN INSTITUTION</w:t>
            </w:r>
          </w:p>
        </w:tc>
        <w:tc>
          <w:tcPr>
            <w:tcW w:w="990" w:type="dxa"/>
          </w:tcPr>
          <w:p w:rsidR="009B3850" w:rsidRPr="00C211BC" w:rsidRDefault="00E22C0E" w:rsidP="00AB583C">
            <w:pPr>
              <w:jc w:val="both"/>
              <w:rPr>
                <w:sz w:val="20"/>
                <w:szCs w:val="20"/>
                <w:lang w:val="en-GB"/>
              </w:rPr>
            </w:pPr>
            <w:r w:rsidRPr="00C211BC">
              <w:rPr>
                <w:sz w:val="20"/>
                <w:szCs w:val="20"/>
                <w:lang w:val="en-GB"/>
              </w:rPr>
              <w:t>3,91</w:t>
            </w:r>
          </w:p>
        </w:tc>
      </w:tr>
      <w:tr w:rsidR="009B3850" w:rsidRPr="00C211BC" w:rsidTr="009B3850">
        <w:tc>
          <w:tcPr>
            <w:tcW w:w="4788" w:type="dxa"/>
          </w:tcPr>
          <w:p w:rsidR="009B3850" w:rsidRPr="00C211BC" w:rsidRDefault="009B3850" w:rsidP="00AB583C">
            <w:pPr>
              <w:jc w:val="both"/>
              <w:rPr>
                <w:sz w:val="20"/>
                <w:szCs w:val="20"/>
                <w:lang w:val="en-GB"/>
              </w:rPr>
            </w:pPr>
            <w:r w:rsidRPr="00C211BC">
              <w:rPr>
                <w:sz w:val="20"/>
                <w:szCs w:val="20"/>
                <w:lang w:val="en-GB"/>
              </w:rPr>
              <w:t>COOPERATION WITH THE LOCAL COMMUNITY</w:t>
            </w:r>
          </w:p>
        </w:tc>
        <w:tc>
          <w:tcPr>
            <w:tcW w:w="990" w:type="dxa"/>
          </w:tcPr>
          <w:p w:rsidR="009B3850" w:rsidRPr="00C211BC" w:rsidRDefault="00E22C0E" w:rsidP="00AB583C">
            <w:pPr>
              <w:jc w:val="both"/>
              <w:rPr>
                <w:sz w:val="20"/>
                <w:szCs w:val="20"/>
                <w:lang w:val="en-GB"/>
              </w:rPr>
            </w:pPr>
            <w:r w:rsidRPr="00C211BC">
              <w:rPr>
                <w:sz w:val="20"/>
                <w:szCs w:val="20"/>
                <w:lang w:val="en-GB"/>
              </w:rPr>
              <w:t>4,25</w:t>
            </w:r>
          </w:p>
        </w:tc>
      </w:tr>
      <w:tr w:rsidR="009B3850" w:rsidRPr="00C211BC" w:rsidTr="009B3850">
        <w:tc>
          <w:tcPr>
            <w:tcW w:w="4788" w:type="dxa"/>
          </w:tcPr>
          <w:p w:rsidR="009B3850" w:rsidRPr="00C211BC" w:rsidRDefault="009B3850" w:rsidP="00AB583C">
            <w:pPr>
              <w:jc w:val="both"/>
              <w:rPr>
                <w:sz w:val="20"/>
                <w:szCs w:val="20"/>
                <w:lang w:val="en-GB"/>
              </w:rPr>
            </w:pPr>
            <w:r w:rsidRPr="00C211BC">
              <w:rPr>
                <w:sz w:val="20"/>
                <w:szCs w:val="20"/>
                <w:lang w:val="en-GB"/>
              </w:rPr>
              <w:t xml:space="preserve">AVAILABILITY </w:t>
            </w:r>
            <w:r w:rsidR="001E604A" w:rsidRPr="00C211BC">
              <w:rPr>
                <w:sz w:val="20"/>
                <w:szCs w:val="20"/>
                <w:lang w:val="en-GB"/>
              </w:rPr>
              <w:t xml:space="preserve"> and TRAINING </w:t>
            </w:r>
            <w:r w:rsidRPr="00C211BC">
              <w:rPr>
                <w:sz w:val="20"/>
                <w:szCs w:val="20"/>
                <w:lang w:val="en-GB"/>
              </w:rPr>
              <w:t>OF PROFESSIONAL STAFF</w:t>
            </w:r>
          </w:p>
        </w:tc>
        <w:tc>
          <w:tcPr>
            <w:tcW w:w="990" w:type="dxa"/>
          </w:tcPr>
          <w:p w:rsidR="009B3850" w:rsidRPr="00C211BC" w:rsidRDefault="00E22C0E" w:rsidP="00AB583C">
            <w:pPr>
              <w:jc w:val="both"/>
              <w:rPr>
                <w:sz w:val="20"/>
                <w:szCs w:val="20"/>
                <w:lang w:val="en-GB"/>
              </w:rPr>
            </w:pPr>
            <w:r w:rsidRPr="00C211BC">
              <w:rPr>
                <w:sz w:val="20"/>
                <w:szCs w:val="20"/>
                <w:lang w:val="en-GB"/>
              </w:rPr>
              <w:t>3,5</w:t>
            </w:r>
          </w:p>
        </w:tc>
      </w:tr>
      <w:tr w:rsidR="009B3850" w:rsidRPr="00C211BC" w:rsidTr="009B3850">
        <w:tc>
          <w:tcPr>
            <w:tcW w:w="4788" w:type="dxa"/>
          </w:tcPr>
          <w:p w:rsidR="009B3850" w:rsidRPr="00C211BC" w:rsidRDefault="009B3850" w:rsidP="00AB583C">
            <w:pPr>
              <w:jc w:val="both"/>
              <w:rPr>
                <w:sz w:val="20"/>
                <w:szCs w:val="20"/>
                <w:lang w:val="en-GB"/>
              </w:rPr>
            </w:pPr>
            <w:r w:rsidRPr="00C211BC">
              <w:rPr>
                <w:sz w:val="20"/>
                <w:szCs w:val="20"/>
                <w:lang w:val="en-GB"/>
              </w:rPr>
              <w:t>COOPERATION WITH PARENTS</w:t>
            </w:r>
          </w:p>
        </w:tc>
        <w:tc>
          <w:tcPr>
            <w:tcW w:w="990" w:type="dxa"/>
          </w:tcPr>
          <w:p w:rsidR="009B3850" w:rsidRPr="00C211BC" w:rsidRDefault="00E22C0E" w:rsidP="00AB583C">
            <w:pPr>
              <w:jc w:val="both"/>
              <w:rPr>
                <w:sz w:val="20"/>
                <w:szCs w:val="20"/>
                <w:lang w:val="en-GB"/>
              </w:rPr>
            </w:pPr>
            <w:r w:rsidRPr="00C211BC">
              <w:rPr>
                <w:sz w:val="20"/>
                <w:szCs w:val="20"/>
                <w:lang w:val="en-GB"/>
              </w:rPr>
              <w:t>3,85</w:t>
            </w:r>
          </w:p>
        </w:tc>
      </w:tr>
    </w:tbl>
    <w:p w:rsidR="009B3850" w:rsidRPr="00C211BC" w:rsidRDefault="009B3850" w:rsidP="00AB583C">
      <w:pPr>
        <w:spacing w:after="0" w:line="240" w:lineRule="auto"/>
        <w:jc w:val="both"/>
        <w:rPr>
          <w:sz w:val="20"/>
          <w:szCs w:val="20"/>
          <w:lang w:val="en-GB"/>
        </w:rPr>
      </w:pPr>
    </w:p>
    <w:p w:rsidR="00E22C0E" w:rsidRPr="00C211BC" w:rsidRDefault="00E22C0E" w:rsidP="00AB583C">
      <w:pPr>
        <w:spacing w:after="0" w:line="240" w:lineRule="auto"/>
        <w:jc w:val="both"/>
        <w:rPr>
          <w:sz w:val="20"/>
          <w:szCs w:val="20"/>
          <w:lang w:val="en-GB"/>
        </w:rPr>
      </w:pPr>
      <w:r w:rsidRPr="00C211BC">
        <w:rPr>
          <w:sz w:val="20"/>
          <w:szCs w:val="20"/>
          <w:lang w:val="en-GB"/>
        </w:rPr>
        <w:t xml:space="preserve">Prevailing </w:t>
      </w:r>
      <w:r w:rsidR="00C211BC" w:rsidRPr="00C211BC">
        <w:rPr>
          <w:sz w:val="20"/>
          <w:szCs w:val="20"/>
          <w:lang w:val="en-GB"/>
        </w:rPr>
        <w:t>recommendations</w:t>
      </w:r>
      <w:r w:rsidRPr="00C211BC">
        <w:rPr>
          <w:sz w:val="20"/>
          <w:szCs w:val="20"/>
          <w:lang w:val="en-GB"/>
        </w:rPr>
        <w:t xml:space="preserve"> </w:t>
      </w:r>
      <w:r w:rsidR="00C211BC" w:rsidRPr="00C211BC">
        <w:rPr>
          <w:sz w:val="20"/>
          <w:szCs w:val="20"/>
          <w:lang w:val="en-GB"/>
        </w:rPr>
        <w:t>refer</w:t>
      </w:r>
      <w:r w:rsidRPr="00C211BC">
        <w:rPr>
          <w:sz w:val="20"/>
          <w:szCs w:val="20"/>
          <w:lang w:val="en-GB"/>
        </w:rPr>
        <w:t xml:space="preserve"> to continuous and specific training of teachers and expert staff, better defining the role of the Roma teacher assistant and better cooperation within the institutions on combining </w:t>
      </w:r>
      <w:r w:rsidR="00AB583C">
        <w:rPr>
          <w:sz w:val="20"/>
          <w:szCs w:val="20"/>
          <w:lang w:val="en-GB"/>
        </w:rPr>
        <w:t xml:space="preserve">internal resources </w:t>
      </w:r>
      <w:r w:rsidRPr="00C211BC">
        <w:rPr>
          <w:sz w:val="20"/>
          <w:szCs w:val="20"/>
          <w:lang w:val="en-GB"/>
        </w:rPr>
        <w:t xml:space="preserve">and including Roma teacher assistants in planning and increased cooperation. Also, often a need for better cooperation with the local community is </w:t>
      </w:r>
      <w:r w:rsidR="00C211BC" w:rsidRPr="00C211BC">
        <w:rPr>
          <w:sz w:val="20"/>
          <w:szCs w:val="20"/>
          <w:lang w:val="en-GB"/>
        </w:rPr>
        <w:t>mentioned</w:t>
      </w:r>
      <w:r w:rsidRPr="00C211BC">
        <w:rPr>
          <w:sz w:val="20"/>
          <w:szCs w:val="20"/>
          <w:lang w:val="en-GB"/>
        </w:rPr>
        <w:t xml:space="preserve"> and finding creative and proactive ways to cooperate with parents.  In addition, better support of other institutions in the community is necessary, especially the </w:t>
      </w:r>
      <w:r w:rsidR="00C211BC" w:rsidRPr="00C211BC">
        <w:rPr>
          <w:sz w:val="20"/>
          <w:szCs w:val="20"/>
          <w:lang w:val="en-GB"/>
        </w:rPr>
        <w:t>Centre</w:t>
      </w:r>
      <w:r w:rsidRPr="00C211BC">
        <w:rPr>
          <w:sz w:val="20"/>
          <w:szCs w:val="20"/>
          <w:lang w:val="en-GB"/>
        </w:rPr>
        <w:t xml:space="preserve"> for social work. </w:t>
      </w:r>
    </w:p>
    <w:sectPr w:rsidR="00E22C0E" w:rsidRPr="00C211BC" w:rsidSect="00CF5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E340D"/>
    <w:multiLevelType w:val="hybridMultilevel"/>
    <w:tmpl w:val="1990FA8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B6BF6"/>
    <w:rsid w:val="0012217C"/>
    <w:rsid w:val="001911A3"/>
    <w:rsid w:val="001E604A"/>
    <w:rsid w:val="001F6B0F"/>
    <w:rsid w:val="003C6565"/>
    <w:rsid w:val="004844AA"/>
    <w:rsid w:val="00513A57"/>
    <w:rsid w:val="00524971"/>
    <w:rsid w:val="008111E9"/>
    <w:rsid w:val="008B6BF6"/>
    <w:rsid w:val="009B3850"/>
    <w:rsid w:val="00AB4A9E"/>
    <w:rsid w:val="00AB583C"/>
    <w:rsid w:val="00B42818"/>
    <w:rsid w:val="00C211BC"/>
    <w:rsid w:val="00CF31E3"/>
    <w:rsid w:val="00CF5E49"/>
    <w:rsid w:val="00D23CBD"/>
    <w:rsid w:val="00DE4D9D"/>
    <w:rsid w:val="00E22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2012-03-21T14:36:00Z</dcterms:created>
  <dcterms:modified xsi:type="dcterms:W3CDTF">2012-03-21T14:37:00Z</dcterms:modified>
</cp:coreProperties>
</file>